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5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47"/>
      </w:tblGrid>
      <w:tr w:rsidR="003753DC" w:rsidRPr="001111AA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100" w:lineRule="atLeast"/>
              <w:rPr>
                <w:rFonts w:eastAsia="Calibri"/>
              </w:rPr>
            </w:pPr>
            <w:r w:rsidRPr="001111AA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7CE4F834" wp14:editId="7712D9B9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6600" cy="439420"/>
                  <wp:effectExtent l="0" t="0" r="6350" b="0"/>
                  <wp:wrapNone/>
                  <wp:docPr id="22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439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3753DC" w:rsidRPr="001111AA" w:rsidRDefault="003753DC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1111AA">
              <w:rPr>
                <w:rFonts w:ascii="Arial" w:eastAsia="Calibri" w:hAnsi="Arial" w:cs="Arial"/>
                <w:b/>
                <w:bCs/>
              </w:rPr>
              <w:t>Urząd Skarbowy we Włoszczowie</w:t>
            </w:r>
          </w:p>
          <w:p w:rsidR="003753DC" w:rsidRPr="001111AA" w:rsidRDefault="003753DC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1111AA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3753DC" w:rsidRPr="001111AA" w:rsidRDefault="003753DC" w:rsidP="00DD3045">
            <w:pPr>
              <w:spacing w:after="0" w:line="100" w:lineRule="atLeast"/>
              <w:jc w:val="center"/>
              <w:rPr>
                <w:rFonts w:eastAsia="Calibri"/>
                <w:b/>
              </w:rPr>
            </w:pPr>
            <w:r w:rsidRPr="001111AA">
              <w:rPr>
                <w:rFonts w:ascii="Arial" w:eastAsia="Calibri" w:hAnsi="Arial" w:cs="Arial"/>
                <w:b/>
              </w:rPr>
              <w:t>KI-024/3</w:t>
            </w:r>
          </w:p>
        </w:tc>
      </w:tr>
      <w:tr w:rsidR="003753DC" w:rsidRPr="001111AA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3753DC" w:rsidRPr="001111AA" w:rsidRDefault="003753DC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color w:val="000000"/>
              </w:rPr>
            </w:pPr>
          </w:p>
          <w:p w:rsidR="003753DC" w:rsidRPr="001111AA" w:rsidRDefault="003753DC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1111AA">
              <w:rPr>
                <w:rFonts w:ascii="Arial" w:eastAsia="Arial" w:hAnsi="Arial" w:cs="Arial"/>
                <w:b/>
                <w:bCs/>
                <w:color w:val="000000"/>
              </w:rPr>
              <w:t xml:space="preserve"> Zgłoszenie </w:t>
            </w:r>
            <w:r w:rsidRPr="001111AA">
              <w:rPr>
                <w:rFonts w:ascii="Arial" w:eastAsia="Calibri" w:hAnsi="Arial" w:cs="Arial"/>
                <w:b/>
                <w:bCs/>
                <w:color w:val="000000"/>
              </w:rPr>
              <w:t>nabycia spadku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3753DC" w:rsidRPr="001111AA" w:rsidRDefault="003753DC" w:rsidP="00DD3045">
            <w:pPr>
              <w:spacing w:after="0" w:line="100" w:lineRule="atLeast"/>
              <w:jc w:val="center"/>
              <w:rPr>
                <w:rFonts w:eastAsia="Calibri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3753DC" w:rsidRPr="001111AA" w:rsidRDefault="003753DC" w:rsidP="003753DC">
      <w:pPr>
        <w:spacing w:after="0" w:line="360" w:lineRule="auto"/>
        <w:rPr>
          <w:rFonts w:eastAsia="Calibri"/>
        </w:rPr>
      </w:pPr>
    </w:p>
    <w:p w:rsidR="003753DC" w:rsidRPr="001111AA" w:rsidRDefault="003753DC" w:rsidP="003753DC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111AA">
        <w:rPr>
          <w:rFonts w:ascii="Arial" w:eastAsia="Calibri" w:hAnsi="Arial" w:cs="Arial"/>
          <w:color w:val="FF0000"/>
          <w:sz w:val="20"/>
          <w:szCs w:val="20"/>
        </w:rPr>
        <w:t>Z</w:t>
      </w:r>
      <w:r w:rsidRPr="001111AA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 e-Deklaracje), które mogą być składane za pomocą środków komunikacji elektronicznej.</w:t>
      </w:r>
    </w:p>
    <w:p w:rsidR="003753DC" w:rsidRPr="001111AA" w:rsidRDefault="003753DC" w:rsidP="003753DC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1111AA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1111AA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3753DC" w:rsidRPr="001111AA" w:rsidRDefault="003753DC" w:rsidP="003753DC">
      <w:pPr>
        <w:spacing w:after="0" w:line="240" w:lineRule="auto"/>
        <w:contextualSpacing/>
        <w:rPr>
          <w:rFonts w:ascii="Arial" w:eastAsia="Calibri" w:hAnsi="Arial" w:cs="Arial"/>
          <w:sz w:val="20"/>
          <w:szCs w:val="20"/>
        </w:rPr>
      </w:pPr>
    </w:p>
    <w:tbl>
      <w:tblPr>
        <w:tblW w:w="0" w:type="auto"/>
        <w:tblInd w:w="-150" w:type="dxa"/>
        <w:tblLayout w:type="fixed"/>
        <w:tblLook w:val="0000" w:firstRow="0" w:lastRow="0" w:firstColumn="0" w:lastColumn="0" w:noHBand="0" w:noVBand="0"/>
      </w:tblPr>
      <w:tblGrid>
        <w:gridCol w:w="2315"/>
        <w:gridCol w:w="7527"/>
      </w:tblGrid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Zgłosić nabyty spadek.</w:t>
            </w:r>
          </w:p>
        </w:tc>
      </w:tr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Osób fizycznych nabywających własność rzeczy lub praw majątkowych tytułem:</w:t>
            </w:r>
          </w:p>
          <w:p w:rsidR="003753DC" w:rsidRPr="001111AA" w:rsidRDefault="003753DC" w:rsidP="003753DC">
            <w:pPr>
              <w:numPr>
                <w:ilvl w:val="0"/>
                <w:numId w:val="1"/>
              </w:numPr>
              <w:tabs>
                <w:tab w:val="num" w:pos="360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dziedziczenia, zapisu, polecenia testamentowego,</w:t>
            </w:r>
          </w:p>
          <w:p w:rsidR="003753DC" w:rsidRPr="001111AA" w:rsidRDefault="003753DC" w:rsidP="003753DC">
            <w:pPr>
              <w:numPr>
                <w:ilvl w:val="0"/>
                <w:numId w:val="1"/>
              </w:numPr>
              <w:tabs>
                <w:tab w:val="num" w:pos="360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zachowku,</w:t>
            </w:r>
          </w:p>
          <w:p w:rsidR="003753DC" w:rsidRPr="001111AA" w:rsidRDefault="003753DC" w:rsidP="003753DC">
            <w:pPr>
              <w:numPr>
                <w:ilvl w:val="0"/>
                <w:numId w:val="1"/>
              </w:numPr>
              <w:tabs>
                <w:tab w:val="num" w:pos="360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dyspozycji wkładcy na wypadek śmierci do wkładów oszczędnościowych oraz dyspozycji uczestnika otwartego funduszu inwestycyjnego albo specjalistycznego funduszu inwestycyjnego otwartego na wypadek śmierci.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5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Zgłoszenie o nabyciu własności rzeczy lub praw majątkowych –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SD-Z2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>(w przypadku śmierci spadkodawcy po 31.12.2006r.).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Zgłoszenie dotyczy: małżonka, zstępnych, wstępnych, pasierba, rodzeństwo, ojczyma i macochę jeżeli zgłoszą nabycie własności rzeczy lub praw majątkowych  na druku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SD-Z2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w terminie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 6 miesięcy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od dnia powstania obowiązku podatkowego, a w  przypadku nabycia w drodze dziedzi</w:t>
            </w: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czenia w terminie 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6 miesięcy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od dnia uprawomocnienia się postanowienia sądu lub sporządzenia aktu poświadczenia dziedziczenia.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W pozostałych przypadkach (tj. w przypadku śmierci spadkodawcy do 31.12.2006r.) oraz w sytuacji niespełnienia warunków do uzyskania zwolnienia należy złożyć zeznanie podatkowe o nabyciu rzeczy lub praw majątkowych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SD-3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wraz </w:t>
            </w: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                               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 informacją o pozostałych nabywcach –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SD-3/A.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Druki 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SD-Z2 i SD-3 , SD-3/A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można pobrać: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3753DC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0" w:firstLine="0"/>
              <w:contextualSpacing/>
              <w:rPr>
                <w:rFonts w:eastAsia="Calibri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>ze strony internetowej Ministerstwa Finansów:</w:t>
            </w:r>
          </w:p>
          <w:p w:rsidR="003753DC" w:rsidRPr="001111AA" w:rsidRDefault="003753DC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            </w:t>
            </w:r>
            <w:hyperlink r:id="rId7" w:history="1">
              <w:r w:rsidRPr="001111AA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3753DC" w:rsidRPr="001111AA" w:rsidRDefault="003753DC" w:rsidP="003753DC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>w  siedzibie tutejszego Urzędu Skarbowego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 xml:space="preserve">Wymagane dokumenty (załączniki) 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Do zgłoszenia 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SD-Z2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należy dołączyć  jedynie postanowienie sądu stwierdzające nabycie spadku lub akt poświadczenia dziedziczenia.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Do zeznania 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SD-3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w sprawie nabycia spadku należy dołączyć dokumenty mające wpływ na określenie podstawy opodatkowania przy nabyciu: (dokumenty na osobę zmarłą na dzień zgonu):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1) nieruchomości: akt własności, wypis z księgi wieczystej, wypis z rejestru gruntów, a przy gospodarstwie rolnym także nakaz płatniczy oraz opis budynku mieszkalnego i budynków inwentarskich (wg stanu na dzień zgonu),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2) własnościowego spółdzielczego prawa do lokalu: przydział lub zaświadczenie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ze spółdzielni oraz informacja o powierzchni lokalu i roku oddania budynku do eksploatacji,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lastRenderedPageBreak/>
              <w:t>3) spółdzielczego lokatorskiego prawa do lokalu: zaświadczenie ze spółdzielni mieszkaniowej o wysokości wkładu na dzień zgonu,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4) konta walutowe i inne oszczędności: zaświadczenie z banku o wysokości wkładu wraz z odsetkami na dzień zgonu,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5) akcje, obligacje, jednostki uczestnictwa w funduszach inwestycyjnych: zaświadczenie o stanie na dzień śmierci i wartość na dzień uprawomocnienia się postanowienia Sądu, dzień sporządzenia aktu  poświadczenia dziedziczenia.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jc w:val="both"/>
              <w:rPr>
                <w:rFonts w:ascii="Arial" w:eastAsia="Arial Unicode MS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6) pojazdy mechaniczne: dowód rejestracyjny.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 Unicode MS" w:hAnsi="Arial" w:cs="Arial"/>
                <w:sz w:val="20"/>
                <w:szCs w:val="20"/>
              </w:rPr>
            </w:pPr>
            <w:r w:rsidRPr="001111AA">
              <w:rPr>
                <w:rFonts w:ascii="Arial" w:eastAsia="Arial Unicode MS" w:hAnsi="Arial" w:cs="Arial"/>
                <w:sz w:val="20"/>
                <w:szCs w:val="20"/>
              </w:rPr>
              <w:t>Ponadto należy dołączyć rachunki związane z kosztami pogrzebu  i budowy nagrobka oraz w przypadku osób zmarłych po 31.12.2006 r. - zaświadczenie ZUS lub KRUS o wypłaconym zasiłku pogrzebowym.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Nie występują w  chwili złożenia zeznania/zgłoszenia.  </w:t>
            </w:r>
          </w:p>
        </w:tc>
      </w:tr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Zgłoszenie o nabyciu własności rzeczy lub praw majątkowych SD-Z2 należy złożyć w terminie 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6 miesięcy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od dnia powstania obowiązku podatkowego (tj. od dnia spisania aktu poświadczenia dziedziczenia bądź od dnia uprawomocnienia się postanowienia sądu).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Zeznanie podatkowe SD-3 oraz informację o pozostałych nabywcach SD-3/A należy złożyć w terminie 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1 miesiąca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od dnia powstania obowiązku podatkowego.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color w:val="000000"/>
                <w:sz w:val="20"/>
                <w:szCs w:val="20"/>
              </w:rPr>
              <w:t>1</w:t>
            </w: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. 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pobrane i wypełnione zgłoszenie/zeznanie drogą elektroniczną,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1111AA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>za pośrednictwem</w:t>
            </w:r>
            <w:r w:rsidRPr="001111AA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portalu podatkowego: </w:t>
            </w:r>
          </w:p>
          <w:p w:rsidR="003753DC" w:rsidRPr="001111AA" w:rsidRDefault="003753DC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hyperlink r:id="rId8" w:history="1">
              <w:r w:rsidRPr="001111AA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t>2.</w:t>
            </w:r>
            <w:r w:rsidRPr="001111AA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1111AA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Przesyłając pobrane i wypełnione zgłoszenie/zeznanie 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>na adres Urzędu Skarbowego we Włoszczowie, 29-100 Włoszczowa, ul. Wiśniowa 10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 xml:space="preserve">, 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>za pośrednictwem operatora pocztowego.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Cs/>
                <w:sz w:val="20"/>
                <w:szCs w:val="20"/>
              </w:rPr>
              <w:t>3.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urzędu:            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1111AA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- wtorek – piątek:   8:00 - 15:00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Prawidłowe złożenie zgłoszenia jest równoznaczne z zakończeniem sprawy.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W przypadku złożenia zeznania SD-3 załatwienie sprawy  powinno nastąpić bez zbędnej zwłoki, jednak nie później niż w  ciągu miesiąca, a sprawy szczególnie skomplikowanej – nie później niż w ciągu 2 miesięcy od dnia wszczęcia postępowania (tj. od dnia złożenia zeznania podatkowego SD-3.) 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Organ podatkowy analizuje złożone wraz z zeznaniem SD-3 dokumenty pod względem formalnym i merytorycznym. Po przeprowadzeniu postępowania podatkowego Naczelnik Urzędu wydaje decyzję ustalającą wysokość zobowiązania podatkowego lub w przypadku braku zobowiązania podatkowego, decyzję umarzającą postępowanie podatkowe.  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753DC" w:rsidRPr="001111A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 xml:space="preserve">Od wydanej decyzji przysługuje Stronie prawo wniesienia odwołania do Dyrektora Izby Administracji Skarbowej w Kielcach, za pośrednictwem Naczelnika Urzędu Skarbowego we Włoszczowie w terminie 14 dni od dnia jej doręczenia. Odwołanie powinno zawierać zarzuty przeciw  decyzji, określać istotę i zakres żądania będącego przedmiotem odwołania oraz wskazywać  dowody uzasadniające to żądanie.   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111A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3753DC" w:rsidRPr="001111A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Opodatkowaniu podatkiem od spadków i darowizn podlega nabycie przez nabywcę, od jednej osoby, własności rzeczy i praw majątkowych o czystej wartości przekraczającej:</w:t>
            </w:r>
          </w:p>
          <w:p w:rsidR="003753DC" w:rsidRDefault="003753DC" w:rsidP="003753DC">
            <w:pPr>
              <w:pStyle w:val="Akapitzlist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 xml:space="preserve">9.637 zł 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>– jeżeli nabywcą jest osoba zaliczana do I grupy podatkowej,</w:t>
            </w:r>
          </w:p>
          <w:p w:rsidR="003753DC" w:rsidRDefault="003753DC" w:rsidP="003753DC">
            <w:pPr>
              <w:pStyle w:val="Akapitzlist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>7.276 zł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 xml:space="preserve"> – jeżeli nabywcą jest osoba zaliczana do II grupy podatkowej,</w:t>
            </w:r>
          </w:p>
          <w:p w:rsidR="003753DC" w:rsidRPr="00970ECB" w:rsidRDefault="003753DC" w:rsidP="003753DC">
            <w:pPr>
              <w:pStyle w:val="Akapitzlist"/>
              <w:numPr>
                <w:ilvl w:val="0"/>
                <w:numId w:val="3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>4.902 zł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 xml:space="preserve"> – jeżeli nabywcą jest osoba zaliczana do III grupy podatkowej.</w:t>
            </w:r>
          </w:p>
          <w:p w:rsidR="003753DC" w:rsidRPr="001111AA" w:rsidRDefault="003753DC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sz w:val="20"/>
                <w:szCs w:val="20"/>
              </w:rPr>
              <w:t>Do poszczególnych grup podatkowych zalicza się:</w:t>
            </w:r>
          </w:p>
          <w:p w:rsidR="003753DC" w:rsidRDefault="003753DC" w:rsidP="003753DC">
            <w:pPr>
              <w:pStyle w:val="Akapitzlist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>do grupy I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 xml:space="preserve"> - małżonka, zstępnych, wstępnych, pasierba, zięcia, synową, rodzeństwo, ojczyma, macochę i teściów,</w:t>
            </w:r>
          </w:p>
          <w:p w:rsidR="003753DC" w:rsidRDefault="003753DC" w:rsidP="003753DC">
            <w:pPr>
              <w:pStyle w:val="Akapitzlist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>do grupy II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 xml:space="preserve"> – zstępnych rodzeństwa, rodzeństwo rodziców, zstępnych                     i małżonków pasierbów, małżonków rodzeństwa i rodzeństwo małżonków, małżonków rodzeństwa małżonków, małżonków innych zstępnych,</w:t>
            </w:r>
          </w:p>
          <w:p w:rsidR="003753DC" w:rsidRPr="00970ECB" w:rsidRDefault="003753DC" w:rsidP="003753DC">
            <w:pPr>
              <w:pStyle w:val="Akapitzlist"/>
              <w:numPr>
                <w:ilvl w:val="0"/>
                <w:numId w:val="4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b/>
                <w:sz w:val="20"/>
                <w:szCs w:val="20"/>
              </w:rPr>
              <w:t>do grupy III</w:t>
            </w:r>
            <w:r w:rsidRPr="00970ECB">
              <w:rPr>
                <w:rFonts w:ascii="Arial" w:eastAsia="Calibri" w:hAnsi="Arial" w:cs="Arial"/>
                <w:sz w:val="20"/>
                <w:szCs w:val="20"/>
              </w:rPr>
              <w:t xml:space="preserve"> – innych nabywców.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Informacje w sprawie  można uzyskać pod numerem i telefonu:  41 394 10 65 wew. 20,  22.</w:t>
            </w:r>
          </w:p>
        </w:tc>
      </w:tr>
      <w:tr w:rsidR="003753DC" w:rsidRPr="001111AA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111AA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3753DC" w:rsidRPr="001111AA" w:rsidRDefault="003753DC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753DC" w:rsidRDefault="003753DC" w:rsidP="003753DC">
            <w:pPr>
              <w:pStyle w:val="Akapitzlist"/>
              <w:numPr>
                <w:ilvl w:val="0"/>
                <w:numId w:val="5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sz w:val="20"/>
                <w:szCs w:val="20"/>
              </w:rPr>
              <w:t>Ustawa z dn. 29.08.1997 r. Ordynacja podatkowa (t. j. Dz. U. z 2021 r., poz. 1540);</w:t>
            </w:r>
          </w:p>
          <w:p w:rsidR="003753DC" w:rsidRDefault="003753DC" w:rsidP="003753DC">
            <w:pPr>
              <w:pStyle w:val="Akapitzlist"/>
              <w:numPr>
                <w:ilvl w:val="0"/>
                <w:numId w:val="5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sz w:val="20"/>
                <w:szCs w:val="20"/>
              </w:rPr>
              <w:t>Ustawa z dn. 28.07.1983r. o podatku od spadków i darowizn (t. j. Dz. U.                      z 2021 r., poz. 1043 ze zm.);</w:t>
            </w:r>
          </w:p>
          <w:p w:rsidR="003753DC" w:rsidRPr="00970ECB" w:rsidRDefault="003753DC" w:rsidP="003753DC">
            <w:pPr>
              <w:pStyle w:val="Akapitzlist"/>
              <w:numPr>
                <w:ilvl w:val="0"/>
                <w:numId w:val="5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70ECB">
              <w:rPr>
                <w:rFonts w:ascii="Arial" w:eastAsia="Calibri" w:hAnsi="Arial" w:cs="Arial"/>
                <w:sz w:val="20"/>
                <w:szCs w:val="20"/>
              </w:rPr>
              <w:t>Ustawa z dn. 16.11.2006 r. o zmianie ustawy o podatku od spadków                             i darowizn oraz ustawy o podatku od czynności cywilnoprawnych ( Dz. U. z 2006 r., nr 222, poz. 1629 ze zm.).</w:t>
            </w:r>
          </w:p>
          <w:p w:rsidR="003753DC" w:rsidRPr="001111AA" w:rsidRDefault="003753DC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3753DC" w:rsidRPr="001111AA" w:rsidRDefault="003753DC" w:rsidP="003753DC">
      <w:pPr>
        <w:spacing w:after="0" w:line="240" w:lineRule="auto"/>
        <w:contextualSpacing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3753DC" w:rsidRDefault="003753DC" w:rsidP="003753DC"/>
    <w:p w:rsidR="003753DC" w:rsidRDefault="003753DC" w:rsidP="003753DC"/>
    <w:p w:rsidR="003753DC" w:rsidRDefault="003753DC" w:rsidP="003753DC"/>
    <w:p w:rsidR="003753DC" w:rsidRDefault="003753DC" w:rsidP="003753DC"/>
    <w:p w:rsidR="003753DC" w:rsidRDefault="003753DC" w:rsidP="003753DC"/>
    <w:p w:rsidR="003753DC" w:rsidRDefault="003753DC" w:rsidP="003753DC"/>
    <w:p w:rsidR="003753DC" w:rsidRDefault="003753DC" w:rsidP="003753DC"/>
    <w:p w:rsidR="003753DC" w:rsidRDefault="003753DC" w:rsidP="003753DC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D1E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222222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1C830A67"/>
    <w:multiLevelType w:val="hybridMultilevel"/>
    <w:tmpl w:val="63C046A0"/>
    <w:lvl w:ilvl="0" w:tplc="0415000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82654E"/>
    <w:multiLevelType w:val="hybridMultilevel"/>
    <w:tmpl w:val="79180126"/>
    <w:lvl w:ilvl="0" w:tplc="0415000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C456DB"/>
    <w:multiLevelType w:val="hybridMultilevel"/>
    <w:tmpl w:val="C3D67C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3DC"/>
    <w:rsid w:val="003753DC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AF55F"/>
  <w15:chartTrackingRefBased/>
  <w15:docId w15:val="{F2A7D70E-30FF-4336-9AE7-E1E22FC8E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753DC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3753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1000</Words>
  <Characters>6001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2021-09-15T09:25:00Z</dcterms:created>
  <dcterms:modified xsi:type="dcterms:W3CDTF">2021-09-15T09:26:00Z</dcterms:modified>
</cp:coreProperties>
</file>